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F6" w:rsidRDefault="0025535F" w:rsidP="00FC10F6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Звіт</w:t>
      </w:r>
      <w:proofErr w:type="spellEnd"/>
    </w:p>
    <w:p w:rsidR="00FC10F6" w:rsidRDefault="0025535F" w:rsidP="00FC10F6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про </w:t>
      </w:r>
      <w:r w:rsid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роботу</w:t>
      </w:r>
      <w:proofErr w:type="gramEnd"/>
      <w:r w:rsid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ММК</w:t>
      </w:r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учителів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географії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біології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екології</w:t>
      </w:r>
      <w:proofErr w:type="spellEnd"/>
    </w:p>
    <w:p w:rsidR="0025535F" w:rsidRPr="00FC10F6" w:rsidRDefault="0025535F" w:rsidP="00FC10F6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за 2024–2025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навчальний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рік</w:t>
      </w:r>
      <w:proofErr w:type="spellEnd"/>
    </w:p>
    <w:p w:rsidR="0025535F" w:rsidRPr="00FC10F6" w:rsidRDefault="0025535F" w:rsidP="002553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535F" w:rsidRPr="00FC10F6" w:rsidRDefault="0025535F" w:rsidP="0025535F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</w:rPr>
        <w:t>підсумки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ММК</w:t>
      </w:r>
    </w:p>
    <w:p w:rsidR="00FC10F6" w:rsidRPr="00FC10F6" w:rsidRDefault="0025535F" w:rsidP="00FC10F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C10F6">
        <w:rPr>
          <w:rFonts w:ascii="Times New Roman" w:eastAsia="Times New Roman" w:hAnsi="Times New Roman" w:cs="Times New Roman"/>
          <w:sz w:val="28"/>
          <w:szCs w:val="28"/>
        </w:rPr>
        <w:br/>
      </w:r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Методична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робота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ММК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учителів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географії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біології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FC10F6">
        <w:rPr>
          <w:rFonts w:ascii="Times New Roman" w:eastAsia="Times New Roman" w:hAnsi="Times New Roman" w:cs="Times New Roman"/>
          <w:sz w:val="28"/>
          <w:szCs w:val="28"/>
        </w:rPr>
        <w:t xml:space="preserve"> 2024-25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була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направлена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реалізацію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положень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доктрини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Конституції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законів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середню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Державного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стандарту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базової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повної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0F6"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FC10F6" w:rsidRPr="00FC10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У 2024–2025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робота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міжшкільного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методичного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об’єднання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учителів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географії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біології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екології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спрямована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реалізацію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методичної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теми</w:t>
      </w:r>
      <w:bookmarkStart w:id="0" w:name="_GoBack"/>
      <w:bookmarkEnd w:id="0"/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>Модернізація</w:t>
      </w:r>
      <w:proofErr w:type="spellEnd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>освітнього</w:t>
      </w:r>
      <w:proofErr w:type="spellEnd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>середовища</w:t>
      </w:r>
      <w:proofErr w:type="spellEnd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>та</w:t>
      </w:r>
      <w:proofErr w:type="spellEnd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>підвищення</w:t>
      </w:r>
      <w:proofErr w:type="spellEnd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>якості</w:t>
      </w:r>
      <w:proofErr w:type="spellEnd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>освітнього</w:t>
      </w:r>
      <w:proofErr w:type="spellEnd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>процесу</w:t>
      </w:r>
      <w:proofErr w:type="spellEnd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proofErr w:type="spellEnd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основі</w:t>
      </w:r>
      <w:proofErr w:type="spellEnd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педагогіки</w:t>
      </w:r>
      <w:proofErr w:type="spellEnd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>партнерства</w:t>
      </w:r>
      <w:proofErr w:type="spellEnd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>компетентнісного</w:t>
      </w:r>
      <w:proofErr w:type="spellEnd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>підходу</w:t>
      </w:r>
      <w:proofErr w:type="spellEnd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>та</w:t>
      </w:r>
      <w:proofErr w:type="spellEnd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принципу</w:t>
      </w:r>
      <w:proofErr w:type="spellEnd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>дитиноцентризму</w:t>
      </w:r>
      <w:proofErr w:type="spellEnd"/>
      <w:r w:rsidRPr="00FC10F6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межах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реалізовано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низку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спрямованих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вдосконалення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майстерності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вчителів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результативності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наступності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ланками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поширення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інноваційних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практик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10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Впровадження науково-методичної теми </w:t>
      </w:r>
      <w:r w:rsidR="00FC10F6" w:rsidRPr="00FC10F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«Нові підходи до викладання предметів природничого циклу в умовах оновлення змісту і технологій навчання, що дозволяють реалізувати Державні стандарти</w:t>
      </w:r>
    </w:p>
    <w:p w:rsidR="0025535F" w:rsidRDefault="00FC10F6" w:rsidP="00583B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C10F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загальної середньої освіти та НУШ»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ключовим стратегічним завданням для розвитку професійної компетентності вчителів. </w:t>
      </w:r>
    </w:p>
    <w:p w:rsidR="00583B86" w:rsidRPr="00583B86" w:rsidRDefault="00583B86" w:rsidP="00583B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5535F" w:rsidRPr="00FC10F6" w:rsidRDefault="0025535F" w:rsidP="002553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Ключові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акценти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роботи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протягом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2024–2025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навчального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року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3149"/>
        <w:gridCol w:w="6819"/>
      </w:tblGrid>
      <w:tr w:rsidR="0025535F" w:rsidRPr="00FC10F6" w:rsidTr="00FC10F6">
        <w:tc>
          <w:tcPr>
            <w:tcW w:w="3149" w:type="dxa"/>
            <w:hideMark/>
          </w:tcPr>
          <w:p w:rsidR="0025535F" w:rsidRPr="00FC10F6" w:rsidRDefault="0025535F" w:rsidP="00FC10F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Напрям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6819" w:type="dxa"/>
            <w:hideMark/>
          </w:tcPr>
          <w:p w:rsidR="0025535F" w:rsidRPr="00FC10F6" w:rsidRDefault="0025535F" w:rsidP="0025535F">
            <w:pPr>
              <w:spacing w:line="36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Зміст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досягнення</w:t>
            </w:r>
            <w:proofErr w:type="spellEnd"/>
          </w:p>
        </w:tc>
      </w:tr>
      <w:tr w:rsidR="0025535F" w:rsidRPr="00030C58" w:rsidTr="00FC10F6">
        <w:tc>
          <w:tcPr>
            <w:tcW w:w="3149" w:type="dxa"/>
            <w:hideMark/>
          </w:tcPr>
          <w:p w:rsidR="0025535F" w:rsidRPr="00FC10F6" w:rsidRDefault="0025535F" w:rsidP="002553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Організаційно-методична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робота</w:t>
            </w:r>
            <w:proofErr w:type="spellEnd"/>
          </w:p>
        </w:tc>
        <w:tc>
          <w:tcPr>
            <w:tcW w:w="6819" w:type="dxa"/>
            <w:hideMark/>
          </w:tcPr>
          <w:p w:rsidR="0025535F" w:rsidRPr="00FC10F6" w:rsidRDefault="0025011D" w:rsidP="00C217D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Проведено 5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засідань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ММК </w:t>
            </w:r>
            <w:proofErr w:type="spellStart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річного</w:t>
            </w:r>
            <w:proofErr w:type="spellEnd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плану</w:t>
            </w: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різних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форматах: офлайн, онлайн та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дистанційно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(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розміщені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посиланням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FC10F6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https://classroom.google.com/c/MzI3MDEwNzYyOTM5</w:t>
              </w:r>
            </w:hyperlink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). </w:t>
            </w:r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 кожному — </w:t>
            </w:r>
            <w:proofErr w:type="spellStart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аналізувалися</w:t>
            </w:r>
            <w:proofErr w:type="spellEnd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ключові</w:t>
            </w:r>
            <w:proofErr w:type="spellEnd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зміни</w:t>
            </w:r>
            <w:proofErr w:type="spellEnd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нормативні</w:t>
            </w:r>
            <w:proofErr w:type="spellEnd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документи</w:t>
            </w:r>
            <w:proofErr w:type="spellEnd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впровадження</w:t>
            </w:r>
            <w:proofErr w:type="spellEnd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НУШ у 5–7 </w:t>
            </w:r>
            <w:proofErr w:type="spellStart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класах</w:t>
            </w:r>
            <w:proofErr w:type="spellEnd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Затверджено</w:t>
            </w:r>
            <w:proofErr w:type="spellEnd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календарно-</w:t>
            </w:r>
            <w:proofErr w:type="spellStart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тематичне</w:t>
            </w:r>
            <w:proofErr w:type="spellEnd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планування</w:t>
            </w:r>
            <w:proofErr w:type="spellEnd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розроблено</w:t>
            </w:r>
            <w:proofErr w:type="spellEnd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І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етапу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21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олімпіад</w:t>
            </w:r>
            <w:proofErr w:type="spellEnd"/>
            <w:r w:rsidR="00C217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5535F" w:rsidRPr="00030C58" w:rsidTr="00FC10F6">
        <w:tc>
          <w:tcPr>
            <w:tcW w:w="3149" w:type="dxa"/>
            <w:hideMark/>
          </w:tcPr>
          <w:p w:rsidR="0025535F" w:rsidRPr="00FC10F6" w:rsidRDefault="0025535F" w:rsidP="002553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Оновлення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змісту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6819" w:type="dxa"/>
            <w:hideMark/>
          </w:tcPr>
          <w:p w:rsidR="0025535F" w:rsidRPr="00FC10F6" w:rsidRDefault="0025535F" w:rsidP="002553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Особливу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увагу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приділено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впровадженню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Державного стандарту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базової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зокрема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7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класі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Опрацьовано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методичні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рекомендації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інтеграції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ключових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компетентностей у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навчальних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5535F" w:rsidRPr="00030C58" w:rsidTr="00FC10F6">
        <w:tc>
          <w:tcPr>
            <w:tcW w:w="3149" w:type="dxa"/>
            <w:hideMark/>
          </w:tcPr>
          <w:p w:rsidR="0025535F" w:rsidRPr="00FC10F6" w:rsidRDefault="0025535F" w:rsidP="002553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Професійний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розвиток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учителів</w:t>
            </w:r>
            <w:proofErr w:type="spellEnd"/>
          </w:p>
        </w:tc>
        <w:tc>
          <w:tcPr>
            <w:tcW w:w="6819" w:type="dxa"/>
            <w:hideMark/>
          </w:tcPr>
          <w:p w:rsidR="0025535F" w:rsidRPr="00FC10F6" w:rsidRDefault="0025535F" w:rsidP="002553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Учителі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активно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працювали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над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удосконаленням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педагогічної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майстерності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через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самоосвіту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участь у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творчих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групах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підвищення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кваліфікації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Були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поширені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авторські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розробки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уроків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сторінці</w:t>
            </w:r>
            <w:proofErr w:type="spellEnd"/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hyperlink r:id="rId6" w:history="1">
              <w:r w:rsidR="00FC10F6" w:rsidRPr="00FC10F6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https://classroom.google.com/c/MzI3MDEwNzYyOTM5</w:t>
              </w:r>
            </w:hyperlink>
            <w:r w:rsidR="00FC10F6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 блогах та онлайн-ресурсах.</w:t>
            </w:r>
          </w:p>
        </w:tc>
      </w:tr>
      <w:tr w:rsidR="0025535F" w:rsidRPr="00030C58" w:rsidTr="00FC10F6">
        <w:tc>
          <w:tcPr>
            <w:tcW w:w="3149" w:type="dxa"/>
            <w:hideMark/>
          </w:tcPr>
          <w:p w:rsidR="0025535F" w:rsidRPr="00FC10F6" w:rsidRDefault="0025535F" w:rsidP="002553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Діяльнісний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підхід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уроці</w:t>
            </w:r>
            <w:proofErr w:type="spellEnd"/>
          </w:p>
        </w:tc>
        <w:tc>
          <w:tcPr>
            <w:tcW w:w="6819" w:type="dxa"/>
            <w:hideMark/>
          </w:tcPr>
          <w:p w:rsidR="0025535F" w:rsidRPr="00FC10F6" w:rsidRDefault="0025535F" w:rsidP="002553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жовтні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відбувся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методичний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майстер-клас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Сучасний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урок – урок разом з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учнями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», де педагоги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демонстрували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підходи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формування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компетентностей через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активну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взаємодію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діяльність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5535F" w:rsidRPr="00FC10F6" w:rsidTr="00FC10F6">
        <w:tc>
          <w:tcPr>
            <w:tcW w:w="3149" w:type="dxa"/>
            <w:hideMark/>
          </w:tcPr>
          <w:p w:rsidR="0025535F" w:rsidRPr="00FC10F6" w:rsidRDefault="0025535F" w:rsidP="002553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Робота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обдарованими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учнями</w:t>
            </w:r>
            <w:proofErr w:type="spellEnd"/>
          </w:p>
        </w:tc>
        <w:tc>
          <w:tcPr>
            <w:tcW w:w="6819" w:type="dxa"/>
            <w:hideMark/>
          </w:tcPr>
          <w:p w:rsidR="0025535F" w:rsidRPr="00FC10F6" w:rsidRDefault="0025535F" w:rsidP="002501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Проведено</w:t>
            </w: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</w:t>
            </w:r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ІІ</w:t>
            </w:r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ІІІ</w:t>
            </w:r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етап</w:t>
            </w:r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End"/>
            <w:proofErr w:type="gram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Всеукраїнських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учнівських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олімпіад</w:t>
            </w:r>
            <w:proofErr w:type="spellEnd"/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географії</w:t>
            </w:r>
            <w:proofErr w:type="spellEnd"/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біології</w:t>
            </w:r>
            <w:proofErr w:type="spellEnd"/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11D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екології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організовано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участь</w:t>
            </w: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Геліантусі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МАН</w:t>
            </w:r>
            <w:r w:rsidR="00BB79D5"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B79D5" w:rsidRPr="00FC10F6" w:rsidRDefault="00BB79D5" w:rsidP="00BB79D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В</w:t>
            </w:r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ІІ</w:t>
            </w:r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етапі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uk-UA" w:eastAsia="ru-RU"/>
              </w:rPr>
              <w:t xml:space="preserve">Всеукраїнської учнівської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олімпіади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з</w:t>
            </w:r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екології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взяли</w:t>
            </w:r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участь</w:t>
            </w:r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 3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 10-11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класів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: </w:t>
            </w:r>
          </w:p>
          <w:p w:rsidR="00BB79D5" w:rsidRPr="00FC10F6" w:rsidRDefault="00BB79D5" w:rsidP="00BB79D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</w:pPr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uk-UA" w:eastAsia="ru-RU"/>
              </w:rPr>
              <w:lastRenderedPageBreak/>
              <w:t xml:space="preserve">-   </w:t>
            </w:r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10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клас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– 1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учениця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;</w:t>
            </w:r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uk-UA" w:eastAsia="ru-RU"/>
              </w:rPr>
              <w:t xml:space="preserve"> - </w:t>
            </w:r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11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клас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– 2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учениці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із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2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шкіл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uk-UA" w:eastAsia="ru-RU"/>
              </w:rPr>
              <w:t>Стрижавської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uk-UA" w:eastAsia="ru-RU"/>
              </w:rPr>
              <w:t xml:space="preserve"> ТГ</w:t>
            </w:r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. 1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учениця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є призером. </w:t>
            </w:r>
          </w:p>
          <w:p w:rsidR="00BB79D5" w:rsidRPr="00FC10F6" w:rsidRDefault="00BB79D5" w:rsidP="00BB79D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</w:pPr>
            <w:proofErr w:type="gramStart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У  ІІІ</w:t>
            </w:r>
            <w:proofErr w:type="gramEnd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етапі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>теж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ru-RU" w:eastAsia="ru-RU"/>
              </w:rPr>
              <w:t xml:space="preserve"> стала призером.</w:t>
            </w:r>
          </w:p>
          <w:p w:rsidR="00BB79D5" w:rsidRPr="00FC10F6" w:rsidRDefault="00BB79D5" w:rsidP="00BB79D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ІІ етапі Всеукраїнської учнівської олімпіади з географії взяли участь 13 </w:t>
            </w:r>
            <w:proofErr w:type="gram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учнів:  8</w:t>
            </w:r>
            <w:proofErr w:type="gram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клас – 3 учнів, 9 клас – 3 учнів, 10 клас – 5 учнів, 11 клас – 2  учнів із 6 шкіл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Стрижавської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ТГ. Призерами стали 4 учні.</w:t>
            </w:r>
          </w:p>
          <w:p w:rsidR="00BB79D5" w:rsidRPr="00FC10F6" w:rsidRDefault="00BB79D5" w:rsidP="00BB79D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 ІІ етапі Всеукраїнської учнівської олімпіади з біології взяли участь 15 учнів:  8 клас – 3 учнів, 9 клас – 4 учнів, 10 клас – 4 учнів, 11 клас – 6 учнів із 6 шкіл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Стрижавської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ТГ. Призерами стали 5 учнів.</w:t>
            </w:r>
          </w:p>
        </w:tc>
      </w:tr>
      <w:tr w:rsidR="0025535F" w:rsidRPr="00FC10F6" w:rsidTr="00FC10F6">
        <w:tc>
          <w:tcPr>
            <w:tcW w:w="3149" w:type="dxa"/>
            <w:hideMark/>
          </w:tcPr>
          <w:p w:rsidR="0025535F" w:rsidRPr="00FC10F6" w:rsidRDefault="0025535F" w:rsidP="002553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Моніторинг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педагогічних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труднощів</w:t>
            </w:r>
            <w:proofErr w:type="spellEnd"/>
          </w:p>
        </w:tc>
        <w:tc>
          <w:tcPr>
            <w:tcW w:w="6819" w:type="dxa"/>
            <w:hideMark/>
          </w:tcPr>
          <w:p w:rsidR="0025535F" w:rsidRPr="00FC10F6" w:rsidRDefault="0025535F" w:rsidP="002553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року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вивчалися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запити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вчителів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актуальних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проблем: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диференціація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мотивація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Надано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індивідуальну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методичну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допомогу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запитом.</w:t>
            </w:r>
          </w:p>
        </w:tc>
      </w:tr>
      <w:tr w:rsidR="0025535F" w:rsidRPr="00FC10F6" w:rsidTr="00FC10F6">
        <w:tc>
          <w:tcPr>
            <w:tcW w:w="3149" w:type="dxa"/>
            <w:hideMark/>
          </w:tcPr>
          <w:p w:rsidR="0025535F" w:rsidRPr="00FC10F6" w:rsidRDefault="0025535F" w:rsidP="002553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Інформаційне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6819" w:type="dxa"/>
            <w:hideMark/>
          </w:tcPr>
          <w:p w:rsidR="0025535F" w:rsidRPr="00FC10F6" w:rsidRDefault="0025535F" w:rsidP="002553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Проведено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бібліографічний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огляд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новинок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фахової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літератури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активно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поповнювались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онлайн-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ресурси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блоги.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Оновлювались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дидактичні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25535F" w:rsidRPr="00FC10F6" w:rsidRDefault="0025535F" w:rsidP="002553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35F" w:rsidRPr="00FC10F6" w:rsidRDefault="0025535F" w:rsidP="0025535F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Реалізація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принципів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НУШ та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дитиноцентризму</w:t>
      </w:r>
      <w:proofErr w:type="spellEnd"/>
    </w:p>
    <w:p w:rsidR="0025535F" w:rsidRPr="00C217DE" w:rsidRDefault="0025535F" w:rsidP="002553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3B86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На всіх етапах освітнього процесу підкреслювалась важливість формування ключових </w:t>
      </w:r>
      <w:proofErr w:type="spellStart"/>
      <w:r w:rsidRPr="00583B86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583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зокрема: екологічного мислення, </w:t>
      </w:r>
      <w:proofErr w:type="spellStart"/>
      <w:r w:rsidRPr="00583B86">
        <w:rPr>
          <w:rFonts w:ascii="Times New Roman" w:eastAsia="Times New Roman" w:hAnsi="Times New Roman" w:cs="Times New Roman"/>
          <w:sz w:val="28"/>
          <w:szCs w:val="28"/>
          <w:lang w:val="uk-UA"/>
        </w:rPr>
        <w:t>медіаграмотності</w:t>
      </w:r>
      <w:proofErr w:type="spellEnd"/>
      <w:r w:rsidRPr="00583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критичного аналізу, </w:t>
      </w:r>
      <w:proofErr w:type="spellStart"/>
      <w:r w:rsidRPr="00583B86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комунікативності</w:t>
      </w:r>
      <w:proofErr w:type="spellEnd"/>
      <w:r w:rsidR="00583B86" w:rsidRPr="00583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</w:t>
      </w:r>
      <w:r w:rsidRPr="00583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C217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Учителі впроваджували групову роботу, дослідницькі </w:t>
      </w:r>
      <w:proofErr w:type="spellStart"/>
      <w:r w:rsidRPr="00C217D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C217DE">
        <w:rPr>
          <w:rFonts w:ascii="Times New Roman" w:eastAsia="Times New Roman" w:hAnsi="Times New Roman" w:cs="Times New Roman"/>
          <w:sz w:val="28"/>
          <w:szCs w:val="28"/>
          <w:lang w:val="uk-UA"/>
        </w:rPr>
        <w:t>, навчальні кейси, а також формувальне оцінювання як дієвий інструмент підтримки учня.</w:t>
      </w:r>
    </w:p>
    <w:p w:rsidR="0025535F" w:rsidRPr="00C217DE" w:rsidRDefault="0025535F" w:rsidP="002553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535F" w:rsidRPr="00FC10F6" w:rsidRDefault="0025535F" w:rsidP="0025535F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</w:rPr>
        <w:t>Інноваційні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практики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педагогічні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</w:rPr>
        <w:t>ініціативи</w:t>
      </w:r>
      <w:proofErr w:type="spellEnd"/>
    </w:p>
    <w:p w:rsidR="0025535F" w:rsidRPr="00FC10F6" w:rsidRDefault="0025535F" w:rsidP="002553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6140"/>
      </w:tblGrid>
      <w:tr w:rsidR="0025535F" w:rsidRPr="00FC10F6" w:rsidTr="00FC10F6">
        <w:tc>
          <w:tcPr>
            <w:tcW w:w="3686" w:type="dxa"/>
            <w:hideMark/>
          </w:tcPr>
          <w:p w:rsidR="0025535F" w:rsidRPr="00FC10F6" w:rsidRDefault="0025535F" w:rsidP="00FC10F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Ініціатива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інструмент</w:t>
            </w:r>
            <w:proofErr w:type="spellEnd"/>
          </w:p>
        </w:tc>
        <w:tc>
          <w:tcPr>
            <w:tcW w:w="6140" w:type="dxa"/>
            <w:hideMark/>
          </w:tcPr>
          <w:p w:rsidR="0025535F" w:rsidRPr="00FC10F6" w:rsidRDefault="0025535F" w:rsidP="0025535F">
            <w:pPr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приклад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впровадження</w:t>
            </w:r>
            <w:proofErr w:type="spellEnd"/>
          </w:p>
        </w:tc>
      </w:tr>
      <w:tr w:rsidR="0025535F" w:rsidRPr="00030C58" w:rsidTr="00FC10F6">
        <w:tc>
          <w:tcPr>
            <w:tcW w:w="3686" w:type="dxa"/>
            <w:hideMark/>
          </w:tcPr>
          <w:p w:rsidR="0025535F" w:rsidRPr="00FC10F6" w:rsidRDefault="0025535F" w:rsidP="002553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Діяльнісне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6140" w:type="dxa"/>
            <w:hideMark/>
          </w:tcPr>
          <w:p w:rsidR="0025535F" w:rsidRPr="00FC10F6" w:rsidRDefault="0025535F" w:rsidP="002553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уроків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форматі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лабораторних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досліджень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польових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спостережень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експериментів</w:t>
            </w:r>
            <w:proofErr w:type="spellEnd"/>
          </w:p>
        </w:tc>
      </w:tr>
      <w:tr w:rsidR="0025535F" w:rsidRPr="00FC10F6" w:rsidTr="00FC10F6">
        <w:tc>
          <w:tcPr>
            <w:tcW w:w="3686" w:type="dxa"/>
            <w:hideMark/>
          </w:tcPr>
          <w:p w:rsidR="0025535F" w:rsidRPr="00FC10F6" w:rsidRDefault="0025535F" w:rsidP="002553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онлайн-ресурсів</w:t>
            </w:r>
            <w:proofErr w:type="spellEnd"/>
          </w:p>
        </w:tc>
        <w:tc>
          <w:tcPr>
            <w:tcW w:w="6140" w:type="dxa"/>
            <w:hideMark/>
          </w:tcPr>
          <w:p w:rsidR="0025535F" w:rsidRPr="00FC10F6" w:rsidRDefault="0025535F" w:rsidP="002553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Активне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>LearningApps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>Wordwall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>Plickers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>Canva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>тощо</w:t>
            </w:r>
            <w:proofErr w:type="spellEnd"/>
          </w:p>
        </w:tc>
      </w:tr>
      <w:tr w:rsidR="0025535F" w:rsidRPr="00030C58" w:rsidTr="00FC10F6">
        <w:tc>
          <w:tcPr>
            <w:tcW w:w="3686" w:type="dxa"/>
            <w:hideMark/>
          </w:tcPr>
          <w:p w:rsidR="0025535F" w:rsidRPr="00FC10F6" w:rsidRDefault="0025535F" w:rsidP="002553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Авторські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педагогічні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</w:rPr>
              <w:t>блоги</w:t>
            </w:r>
            <w:proofErr w:type="spellEnd"/>
          </w:p>
        </w:tc>
        <w:tc>
          <w:tcPr>
            <w:tcW w:w="6140" w:type="dxa"/>
            <w:hideMark/>
          </w:tcPr>
          <w:p w:rsidR="0025535F" w:rsidRPr="00FC10F6" w:rsidRDefault="0025011D" w:rsidP="002553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Учителями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творення</w:t>
            </w:r>
            <w:proofErr w:type="spellEnd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поповнення</w:t>
            </w:r>
            <w:proofErr w:type="spellEnd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онлайн-</w:t>
            </w:r>
            <w:proofErr w:type="spellStart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бібліотеки</w:t>
            </w:r>
            <w:proofErr w:type="spellEnd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власних</w:t>
            </w:r>
            <w:proofErr w:type="spellEnd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методичних</w:t>
            </w:r>
            <w:proofErr w:type="spellEnd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535F"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розробок</w:t>
            </w:r>
            <w:proofErr w:type="spellEnd"/>
          </w:p>
        </w:tc>
      </w:tr>
      <w:tr w:rsidR="0025535F" w:rsidRPr="00030C58" w:rsidTr="00FC10F6">
        <w:tc>
          <w:tcPr>
            <w:tcW w:w="3686" w:type="dxa"/>
            <w:hideMark/>
          </w:tcPr>
          <w:p w:rsidR="0025535F" w:rsidRPr="00FC10F6" w:rsidRDefault="0025535F" w:rsidP="002553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проєкти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рамках МАН</w:t>
            </w:r>
          </w:p>
        </w:tc>
        <w:tc>
          <w:tcPr>
            <w:tcW w:w="6140" w:type="dxa"/>
            <w:hideMark/>
          </w:tcPr>
          <w:p w:rsidR="0025535F" w:rsidRPr="00FC10F6" w:rsidRDefault="0025011D" w:rsidP="002553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залучено до </w:t>
            </w:r>
            <w:proofErr w:type="spellStart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участі</w:t>
            </w:r>
            <w:proofErr w:type="spellEnd"/>
            <w:r w:rsidRPr="00FC10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1 – стала призером.</w:t>
            </w:r>
          </w:p>
        </w:tc>
      </w:tr>
    </w:tbl>
    <w:p w:rsidR="0025535F" w:rsidRPr="00FC10F6" w:rsidRDefault="0025535F" w:rsidP="002553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535F" w:rsidRPr="00FC10F6" w:rsidRDefault="0025535F" w:rsidP="0025535F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</w:rPr>
        <w:t>Виклики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 рекомендації</w:t>
      </w:r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перспективи</w:t>
      </w:r>
      <w:proofErr w:type="spellEnd"/>
    </w:p>
    <w:p w:rsidR="0025535F" w:rsidRPr="00FC10F6" w:rsidRDefault="0025535F" w:rsidP="002553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0F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труднощів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потреба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подальшому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методичному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супроводі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НУШ у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старшій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школі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труднощі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мотивації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дослідницької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потреба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уніфікованих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цифрових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ресурсах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Водночас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учителі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демонструють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готовність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адаптації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</w:rPr>
        <w:t>інновацій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535F" w:rsidRPr="00FC10F6" w:rsidRDefault="0025535F" w:rsidP="002553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10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Рекомендації:</w:t>
      </w:r>
    </w:p>
    <w:p w:rsidR="0025535F" w:rsidRPr="00FC10F6" w:rsidRDefault="0025535F" w:rsidP="0025535F">
      <w:pPr>
        <w:pStyle w:val="a8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Спрямувати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роботу ММК на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реалізацію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компетентнісного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8-х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класах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25535F" w:rsidRPr="00FC10F6" w:rsidRDefault="0025535F" w:rsidP="0025535F">
      <w:pPr>
        <w:pStyle w:val="a8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Активізувати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цифрового контенту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власного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відеоуроки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інфографіка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інтерактивні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тести);</w:t>
      </w:r>
    </w:p>
    <w:p w:rsidR="0025535F" w:rsidRPr="00FC10F6" w:rsidRDefault="0025535F" w:rsidP="0025535F">
      <w:pPr>
        <w:pStyle w:val="a8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Удосконалити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систему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вчителів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у межах</w:t>
      </w:r>
      <w:proofErr w:type="gram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професійних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25535F" w:rsidRPr="00FC10F6" w:rsidRDefault="0025535F" w:rsidP="0025535F">
      <w:pPr>
        <w:pStyle w:val="a8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Поглибити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інтегративного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природничої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25535F" w:rsidRDefault="0025535F" w:rsidP="0025535F">
      <w:pPr>
        <w:pStyle w:val="a8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Продовжити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системну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роботу з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обдарованими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учнями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участь у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науково-дослідницькій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83B86" w:rsidRPr="00FC10F6" w:rsidRDefault="00583B86" w:rsidP="00583B86">
      <w:pPr>
        <w:pStyle w:val="a8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535F" w:rsidRDefault="0025535F" w:rsidP="002553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Висновок</w:t>
      </w:r>
      <w:proofErr w:type="spellEnd"/>
      <w:r w:rsidRPr="00FC10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Робота ММК у 2024–2025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системною, результативною та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зорієнтованою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якісні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освіті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Учителі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географії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біології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демонструють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високий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фахової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майстерності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творчий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готовність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подальшого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трансформації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C10F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217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9494C" w:rsidRPr="00FC10F6" w:rsidRDefault="0009494C" w:rsidP="002553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81AEF" w:rsidRPr="0009494C" w:rsidRDefault="00C217DE" w:rsidP="002553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09494C" w:rsidRPr="0009494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Керівник</w:t>
      </w:r>
      <w:proofErr w:type="spellEnd"/>
      <w:r w:rsidR="0009494C" w:rsidRPr="0009494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ММК                                                            Т. В. ПОРОХНЯ</w:t>
      </w:r>
    </w:p>
    <w:sectPr w:rsidR="00E81AEF" w:rsidRPr="000949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2553"/>
    <w:multiLevelType w:val="hybridMultilevel"/>
    <w:tmpl w:val="2E3A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3550"/>
    <w:multiLevelType w:val="multilevel"/>
    <w:tmpl w:val="046C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732A2"/>
    <w:multiLevelType w:val="multilevel"/>
    <w:tmpl w:val="5994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D0EB9"/>
    <w:multiLevelType w:val="multilevel"/>
    <w:tmpl w:val="EF52A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54759C4"/>
    <w:multiLevelType w:val="hybridMultilevel"/>
    <w:tmpl w:val="147095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F24E63"/>
    <w:multiLevelType w:val="multilevel"/>
    <w:tmpl w:val="C722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A713E"/>
    <w:multiLevelType w:val="hybridMultilevel"/>
    <w:tmpl w:val="28A8127A"/>
    <w:lvl w:ilvl="0" w:tplc="875EBC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7A57C9"/>
    <w:multiLevelType w:val="multilevel"/>
    <w:tmpl w:val="2AF2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803125"/>
    <w:multiLevelType w:val="hybridMultilevel"/>
    <w:tmpl w:val="A3269746"/>
    <w:lvl w:ilvl="0" w:tplc="C9BE11A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927741"/>
    <w:multiLevelType w:val="multilevel"/>
    <w:tmpl w:val="B78E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C53D7E"/>
    <w:multiLevelType w:val="multilevel"/>
    <w:tmpl w:val="8B30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BD3789"/>
    <w:multiLevelType w:val="multilevel"/>
    <w:tmpl w:val="6F50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6F32F4"/>
    <w:multiLevelType w:val="hybridMultilevel"/>
    <w:tmpl w:val="BC2EBB14"/>
    <w:lvl w:ilvl="0" w:tplc="1DCA36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D2727A"/>
    <w:multiLevelType w:val="multilevel"/>
    <w:tmpl w:val="F7B69238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12"/>
  </w:num>
  <w:num w:numId="12">
    <w:abstractNumId w:val="6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EF"/>
    <w:rsid w:val="00030C58"/>
    <w:rsid w:val="0009494C"/>
    <w:rsid w:val="0025011D"/>
    <w:rsid w:val="0025535F"/>
    <w:rsid w:val="00507A03"/>
    <w:rsid w:val="00583B86"/>
    <w:rsid w:val="00BB79D5"/>
    <w:rsid w:val="00C217DE"/>
    <w:rsid w:val="00C44CE2"/>
    <w:rsid w:val="00D32E04"/>
    <w:rsid w:val="00E81AEF"/>
    <w:rsid w:val="00F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09A2D"/>
  <w15:chartTrackingRefBased/>
  <w15:docId w15:val="{D21715A1-E75C-44C3-9A8E-E4995CB8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1A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81A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A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81A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1AEF"/>
    <w:rPr>
      <w:b/>
      <w:bCs/>
    </w:rPr>
  </w:style>
  <w:style w:type="character" w:styleId="a5">
    <w:name w:val="Emphasis"/>
    <w:basedOn w:val="a0"/>
    <w:uiPriority w:val="20"/>
    <w:qFormat/>
    <w:rsid w:val="00E81AEF"/>
    <w:rPr>
      <w:i/>
      <w:iCs/>
    </w:rPr>
  </w:style>
  <w:style w:type="table" w:styleId="a6">
    <w:name w:val="Grid Table Light"/>
    <w:basedOn w:val="a1"/>
    <w:uiPriority w:val="40"/>
    <w:rsid w:val="00E81A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39"/>
    <w:rsid w:val="00E81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2E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50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7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c/MzI3MDEwNzYyOTM5" TargetMode="External"/><Relationship Id="rId5" Type="http://schemas.openxmlformats.org/officeDocument/2006/relationships/hyperlink" Target="https://classroom.google.com/c/MzI3MDEwNzYyOTM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Порохня Вікторія Анатоліївна</dc:creator>
  <cp:keywords/>
  <dc:description/>
  <cp:lastModifiedBy>Порохня Вікторія Анатоліївна</cp:lastModifiedBy>
  <cp:revision>11</cp:revision>
  <dcterms:created xsi:type="dcterms:W3CDTF">2025-06-11T19:36:00Z</dcterms:created>
  <dcterms:modified xsi:type="dcterms:W3CDTF">2025-06-17T06:25:00Z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8b83f1de-0132-4955-825c-35a5f1bab39e</vt:lpwstr>
  </property>
</Properties>
</file>